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rFonts w:hint="eastAsia" w:ascii="新宋体" w:hAnsi="新宋体" w:eastAsia="新宋体" w:cs="新宋体"/>
          <w:color w:val="000000" w:themeColor="text1"/>
          <w14:textFill>
            <w14:solidFill>
              <w14:schemeClr w14:val="tx1"/>
            </w14:solidFill>
          </w14:textFill>
        </w:rPr>
      </w:pPr>
      <w:bookmarkStart w:id="0" w:name="_Toc508195974"/>
      <w:bookmarkStart w:id="1" w:name="_Toc261003521"/>
      <w:bookmarkStart w:id="2" w:name="_Toc508196082"/>
      <w:bookmarkStart w:id="3" w:name="_Toc261004209"/>
      <w:r>
        <w:rPr>
          <w:rFonts w:hint="eastAsia" w:ascii="新宋体" w:hAnsi="新宋体" w:eastAsia="新宋体" w:cs="新宋体"/>
          <w:color w:val="000000" w:themeColor="text1"/>
          <w14:textFill>
            <w14:solidFill>
              <w14:schemeClr w14:val="tx1"/>
            </w14:solidFill>
          </w14:textFill>
        </w:rPr>
        <w:t>房屋租赁合同</w:t>
      </w:r>
      <w:bookmarkEnd w:id="0"/>
      <w:bookmarkEnd w:id="1"/>
      <w:bookmarkEnd w:id="2"/>
      <w:bookmarkEnd w:id="3"/>
    </w:p>
    <w:p>
      <w:pPr>
        <w:wordWrap w:val="0"/>
        <w:spacing w:line="360" w:lineRule="auto"/>
        <w:ind w:firstLine="5640" w:firstLineChars="2350"/>
        <w:jc w:val="right"/>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合同编号：</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出租人：</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 xml:space="preserve">              签订地点：</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after="312" w:afterLines="100"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承租人：</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 xml:space="preserve">              签订时间：</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年</w:t>
      </w:r>
      <w:r>
        <w:rPr>
          <w:rFonts w:hint="eastAsia" w:ascii="新宋体" w:hAnsi="新宋体" w:eastAsia="新宋体" w:cs="新宋体"/>
          <w:color w:val="000000" w:themeColor="text1"/>
          <w:sz w:val="24"/>
          <w:u w:val="single"/>
          <w14:textFill>
            <w14:solidFill>
              <w14:schemeClr w14:val="tx1"/>
            </w14:solidFill>
          </w14:textFill>
        </w:rPr>
        <w:t xml:space="preserve">    </w:t>
      </w:r>
      <w:bookmarkStart w:id="4" w:name="_GoBack"/>
      <w:bookmarkEnd w:id="4"/>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月</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日</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第一条 租赁房屋的基本情况</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租赁房屋坐落在</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 xml:space="preserve"> 、间数</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、建筑面积</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平方米、房屋质量</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第二条 租赁期限</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 xml:space="preserve">租赁期限从 </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年</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月</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日至</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年</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月</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日。</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（提示：租赁期限不得超过二十年。超过二十年的，超过部分无效）</w:t>
      </w:r>
    </w:p>
    <w:p>
      <w:pPr>
        <w:numPr>
          <w:ilvl w:val="0"/>
          <w:numId w:val="1"/>
        </w:num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租金（大写）</w:t>
      </w:r>
    </w:p>
    <w:p>
      <w:pPr>
        <w:spacing w:line="360" w:lineRule="auto"/>
        <w:ind w:firstLine="480"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第四条 租金的支付期限与方式</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第五条 承租人需缴纳的费用</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承租人负责支付出租房屋的水费、电费、煤气费、电话费、光缆电视费、卫生费和物业管理费。</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第六条 租赁房屋的用途</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numPr>
          <w:ilvl w:val="0"/>
          <w:numId w:val="2"/>
        </w:num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租赁房屋的维修</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出租人维修的范围、时间及费用负担：</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承租人维修的范围及费用负担：</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第八条 出租人（是/否）允许承租人对租赁房屋进行装修或改善增设他物。</w:t>
      </w:r>
      <w:r>
        <w:rPr>
          <w:rFonts w:hint="eastAsia" w:ascii="新宋体" w:hAnsi="新宋体" w:eastAsia="新宋体" w:cs="新宋体"/>
          <w:color w:val="000000" w:themeColor="text1"/>
          <w:sz w:val="24"/>
          <w14:textFill>
            <w14:solidFill>
              <w14:schemeClr w14:val="tx1"/>
            </w14:solidFill>
          </w14:textFill>
        </w:rPr>
        <w:t>装修、改善增设他物的范围是：</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租赁合同期满，租赁房屋的装修、改善增设他物的处理</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第九条 出租人（是/否）允许承租人转租租赁房屋。</w:t>
      </w:r>
    </w:p>
    <w:p>
      <w:pPr>
        <w:spacing w:line="360" w:lineRule="auto"/>
        <w:ind w:firstLine="482" w:firstLineChars="200"/>
        <w:jc w:val="left"/>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第十条 定金</w:t>
      </w:r>
    </w:p>
    <w:p>
      <w:pPr>
        <w:spacing w:line="360" w:lineRule="auto"/>
        <w:ind w:firstLine="480" w:firstLineChars="200"/>
        <w:jc w:val="left"/>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定金（大写）</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元。承租人在</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前交给出租人。</w:t>
      </w:r>
    </w:p>
    <w:p>
      <w:p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第十一条 合同解除和条件</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有下列情形之一，出租人有权解除本合同：</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1.承租人不交付或者不按约定交付租金达</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个月以上；</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2.承租人所欠各项费用达（大写）</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元以上；</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3.未经出租人同意及有关部门批准，承租人擅自改变出租房屋用途的；</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4.承租人违反本合同约定，不承担维修责任致使房屋或设备严重损坏的；</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5.未经出租人书面同意，承租人将出租房屋进行装修的；</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6.未经出租人书面同意，承租人将出租房屋转租第三人的；</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7.承租人在出租房屋进行违法活动的。</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有下列情形之一，承租人有权解除本合同：</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 xml:space="preserve">1.出租人迟延交付出租房屋 </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个月以上；</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2.出租人违反本合同约定，不承担维修责任，使承租人无法继续使用出租房屋。</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3．</w:t>
      </w: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第十二条 房屋租赁合同期满，承租人返还房屋的时间是</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第十三条 违约责任</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1. 出租人未按时或未按要求维修出租房屋造成承租人人身受到伤害或财物毁损的，负责赔偿损失。</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2. 承租人逾期交付租金的，除应及时如数补交外，还应支付滞纳金。</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3. 承租人违反合同，擅自将出租房屋转租第三人使用的，因此造成出租房屋毁坏的，应负损害赔偿责任。</w:t>
      </w:r>
    </w:p>
    <w:p>
      <w:pPr>
        <w:numPr>
          <w:ilvl w:val="0"/>
          <w:numId w:val="3"/>
        </w:numPr>
        <w:spacing w:line="360" w:lineRule="auto"/>
        <w:ind w:firstLine="482" w:firstLineChars="200"/>
        <w:rPr>
          <w:rFonts w:hint="eastAsia" w:ascii="新宋体" w:hAnsi="新宋体" w:eastAsia="新宋体" w:cs="新宋体"/>
          <w:b/>
          <w:bCs/>
          <w:color w:val="000000" w:themeColor="text1"/>
          <w:sz w:val="24"/>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合同争议的解决方式：</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 xml:space="preserve">本合同在履行过程中发生的争议，由双方当事人协商解决；也可由有关部门调解；协商或调解不成的，按下列第 </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种方式解决：</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（一） 提交</w:t>
      </w:r>
      <w:r>
        <w:rPr>
          <w:rFonts w:hint="eastAsia" w:ascii="新宋体" w:hAnsi="新宋体" w:eastAsia="新宋体" w:cs="新宋体"/>
          <w:color w:val="000000" w:themeColor="text1"/>
          <w:sz w:val="24"/>
          <w:u w:val="single"/>
          <w14:textFill>
            <w14:solidFill>
              <w14:schemeClr w14:val="tx1"/>
            </w14:solidFill>
          </w14:textFill>
        </w:rPr>
        <w:t xml:space="preserve">                             </w:t>
      </w:r>
      <w:r>
        <w:rPr>
          <w:rFonts w:hint="eastAsia" w:ascii="新宋体" w:hAnsi="新宋体" w:eastAsia="新宋体" w:cs="新宋体"/>
          <w:color w:val="000000" w:themeColor="text1"/>
          <w:sz w:val="24"/>
          <w14:textFill>
            <w14:solidFill>
              <w14:schemeClr w14:val="tx1"/>
            </w14:solidFill>
          </w14:textFill>
        </w:rPr>
        <w:t>仲裁委员会仲裁；</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（二） 依法向人民法院起诉。</w:t>
      </w:r>
    </w:p>
    <w:p>
      <w:pPr>
        <w:spacing w:line="360" w:lineRule="auto"/>
        <w:ind w:firstLine="482" w:firstLineChars="200"/>
        <w:rPr>
          <w:rFonts w:hint="eastAsia" w:ascii="新宋体" w:hAnsi="新宋体" w:eastAsia="新宋体" w:cs="新宋体"/>
          <w:b/>
          <w:bCs/>
          <w:color w:val="000000" w:themeColor="text1"/>
          <w:sz w:val="24"/>
          <w:u w:val="single"/>
          <w14:textFill>
            <w14:solidFill>
              <w14:schemeClr w14:val="tx1"/>
            </w14:solidFill>
          </w14:textFill>
        </w:rPr>
      </w:pPr>
      <w:r>
        <w:rPr>
          <w:rFonts w:hint="eastAsia" w:ascii="新宋体" w:hAnsi="新宋体" w:eastAsia="新宋体" w:cs="新宋体"/>
          <w:b/>
          <w:bCs/>
          <w:color w:val="000000" w:themeColor="text1"/>
          <w:sz w:val="24"/>
          <w14:textFill>
            <w14:solidFill>
              <w14:schemeClr w14:val="tx1"/>
            </w14:solidFill>
          </w14:textFill>
        </w:rPr>
        <w:t>第十五条 其他约定事项</w:t>
      </w:r>
    </w:p>
    <w:p>
      <w:pPr>
        <w:spacing w:line="360" w:lineRule="auto"/>
        <w:ind w:firstLine="480" w:firstLineChars="200"/>
        <w:rPr>
          <w:rFonts w:hint="eastAsia" w:ascii="新宋体" w:hAnsi="新宋体" w:eastAsia="新宋体" w:cs="新宋体"/>
          <w:color w:val="000000" w:themeColor="text1"/>
          <w:sz w:val="24"/>
          <w:u w:val="single"/>
          <w14:textFill>
            <w14:solidFill>
              <w14:schemeClr w14:val="tx1"/>
            </w14:solidFill>
          </w14:textFill>
        </w:rPr>
      </w:pPr>
      <w:r>
        <w:rPr>
          <w:rFonts w:hint="eastAsia" w:ascii="新宋体" w:hAnsi="新宋体" w:eastAsia="新宋体" w:cs="新宋体"/>
          <w:color w:val="000000" w:themeColor="text1"/>
          <w:sz w:val="24"/>
          <w:u w:val="single"/>
          <w14:textFill>
            <w14:solidFill>
              <w14:schemeClr w14:val="tx1"/>
            </w14:solidFill>
          </w14:textFill>
        </w:rPr>
        <w:t xml:space="preserve">                                                   </w:t>
      </w: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p>
    <w:p>
      <w:pPr>
        <w:spacing w:line="360" w:lineRule="auto"/>
        <w:ind w:firstLine="480" w:firstLineChars="200"/>
        <w:rPr>
          <w:rFonts w:hint="eastAsia" w:ascii="新宋体" w:hAnsi="新宋体" w:eastAsia="新宋体" w:cs="新宋体"/>
          <w:color w:val="000000" w:themeColor="text1"/>
          <w:sz w:val="24"/>
          <w14:textFill>
            <w14:solidFill>
              <w14:schemeClr w14:val="tx1"/>
            </w14:solidFill>
          </w14:textFill>
        </w:rPr>
      </w:pPr>
      <w:r>
        <w:rPr>
          <w:rFonts w:hint="eastAsia" w:ascii="新宋体" w:hAnsi="新宋体" w:eastAsia="新宋体" w:cs="新宋体"/>
          <w:color w:val="000000" w:themeColor="text1"/>
          <w:sz w:val="24"/>
          <w14:textFill>
            <w14:solidFill>
              <w14:schemeClr w14:val="tx1"/>
            </w14:solidFill>
          </w14:textFill>
        </w:rPr>
        <w:t>[以下无正文，为合同签署页]</w:t>
      </w:r>
    </w:p>
    <w:p>
      <w:pPr>
        <w:spacing w:line="360" w:lineRule="auto"/>
        <w:rPr>
          <w:rFonts w:hint="eastAsia" w:ascii="新宋体" w:hAnsi="新宋体" w:eastAsia="新宋体" w:cs="新宋体"/>
          <w:color w:val="000000" w:themeColor="text1"/>
          <w:sz w:val="24"/>
          <w:u w:val="single"/>
          <w14:textFill>
            <w14:solidFill>
              <w14:schemeClr w14:val="tx1"/>
            </w14:solidFill>
          </w14:textFill>
        </w:rPr>
      </w:pPr>
    </w:p>
    <w:tbl>
      <w:tblPr>
        <w:tblStyle w:val="4"/>
        <w:tblW w:w="8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8"/>
        <w:gridCol w:w="2839"/>
        <w:gridCol w:w="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出租人：（章）</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承租人：（章）</w:t>
            </w:r>
          </w:p>
        </w:tc>
        <w:tc>
          <w:tcPr>
            <w:tcW w:w="2839" w:type="dxa"/>
            <w:vMerge w:val="restart"/>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鉴（公）证意见：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住所：</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住所：</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法定代表人：（签名）</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法定代表人：（签名）</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居民身份证号码：</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居民身份证号码：</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委托代理人：（签名）</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委托代理人：（签名）</w:t>
            </w:r>
          </w:p>
        </w:tc>
        <w:tc>
          <w:tcPr>
            <w:tcW w:w="2839" w:type="dxa"/>
            <w:vMerge w:val="restart"/>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（公）证机关（章）经办人：</w:t>
            </w:r>
          </w:p>
          <w:p>
            <w:pPr>
              <w:spacing w:line="360" w:lineRule="auto"/>
              <w:ind w:firstLine="720" w:firstLineChars="300"/>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电话：</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电话：</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开户银行：</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开户银行：</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账号：</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账号：</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2838"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邮政编码：</w:t>
            </w:r>
          </w:p>
        </w:tc>
        <w:tc>
          <w:tcPr>
            <w:tcW w:w="2839" w:type="dxa"/>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r>
              <w:rPr>
                <w:rFonts w:hint="eastAsia" w:ascii="新宋体" w:hAnsi="新宋体" w:eastAsia="新宋体" w:cs="新宋体"/>
                <w:color w:val="000000" w:themeColor="text1"/>
                <w:kern w:val="0"/>
                <w:sz w:val="24"/>
                <w:szCs w:val="20"/>
                <w14:textFill>
                  <w14:solidFill>
                    <w14:schemeClr w14:val="tx1"/>
                  </w14:solidFill>
                </w14:textFill>
              </w:rPr>
              <w:t>邮政编码：</w:t>
            </w:r>
          </w:p>
        </w:tc>
        <w:tc>
          <w:tcPr>
            <w:tcW w:w="2839" w:type="dxa"/>
            <w:vMerge w:val="continue"/>
          </w:tcPr>
          <w:p>
            <w:pPr>
              <w:spacing w:line="360" w:lineRule="auto"/>
              <w:rPr>
                <w:rFonts w:hint="eastAsia" w:ascii="新宋体" w:hAnsi="新宋体" w:eastAsia="新宋体" w:cs="新宋体"/>
                <w:color w:val="000000" w:themeColor="text1"/>
                <w:kern w:val="0"/>
                <w:sz w:val="24"/>
                <w:szCs w:val="20"/>
                <w14:textFill>
                  <w14:solidFill>
                    <w14:schemeClr w14:val="tx1"/>
                  </w14:solidFill>
                </w14:textFill>
              </w:rPr>
            </w:pPr>
          </w:p>
        </w:tc>
      </w:tr>
    </w:tbl>
    <w:p>
      <w:pPr>
        <w:rPr>
          <w:rFonts w:hint="eastAsia" w:ascii="新宋体" w:hAnsi="新宋体" w:eastAsia="新宋体" w:cs="新宋体"/>
          <w:color w:val="000000" w:themeColor="text1"/>
          <w:sz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A370FF"/>
    <w:multiLevelType w:val="singleLevel"/>
    <w:tmpl w:val="5AA370FF"/>
    <w:lvl w:ilvl="0" w:tentative="0">
      <w:start w:val="3"/>
      <w:numFmt w:val="chineseCounting"/>
      <w:suff w:val="space"/>
      <w:lvlText w:val="第%1条"/>
      <w:lvlJc w:val="left"/>
    </w:lvl>
  </w:abstractNum>
  <w:abstractNum w:abstractNumId="1">
    <w:nsid w:val="5AA3718B"/>
    <w:multiLevelType w:val="singleLevel"/>
    <w:tmpl w:val="5AA3718B"/>
    <w:lvl w:ilvl="0" w:tentative="0">
      <w:start w:val="7"/>
      <w:numFmt w:val="chineseCounting"/>
      <w:suff w:val="space"/>
      <w:lvlText w:val="第%1条"/>
      <w:lvlJc w:val="left"/>
    </w:lvl>
  </w:abstractNum>
  <w:abstractNum w:abstractNumId="2">
    <w:nsid w:val="5AA3F4C1"/>
    <w:multiLevelType w:val="singleLevel"/>
    <w:tmpl w:val="5AA3F4C1"/>
    <w:lvl w:ilvl="0" w:tentative="0">
      <w:start w:val="14"/>
      <w:numFmt w:val="chineseCounting"/>
      <w:suff w:val="space"/>
      <w:lvlText w:val="第%1条"/>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0D1"/>
    <w:rsid w:val="009E50D1"/>
    <w:rsid w:val="2FD00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6"/>
    <w:unhideWhenUsed/>
    <w:qFormat/>
    <w:uiPriority w:val="0"/>
    <w:pPr>
      <w:keepNext/>
      <w:keepLines/>
      <w:spacing w:before="260" w:after="260" w:line="416" w:lineRule="auto"/>
      <w:jc w:val="center"/>
      <w:outlineLvl w:val="2"/>
    </w:pPr>
    <w:rPr>
      <w:rFonts w:eastAsia="宋体"/>
      <w:b/>
      <w:bCs/>
      <w:sz w:val="32"/>
      <w:szCs w:val="32"/>
    </w:rPr>
  </w:style>
  <w:style w:type="character" w:default="1" w:styleId="5">
    <w:name w:val="Default Paragraph Font"/>
    <w:semiHidden/>
    <w:unhideWhenUsed/>
    <w:qFormat/>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6">
    <w:name w:val="标题 3 字符"/>
    <w:basedOn w:val="5"/>
    <w:link w:val="2"/>
    <w:qFormat/>
    <w:uiPriority w:val="0"/>
    <w:rPr>
      <w:rFonts w:eastAsia="宋体"/>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330</Words>
  <Characters>1883</Characters>
  <Lines>15</Lines>
  <Paragraphs>4</Paragraphs>
  <TotalTime>4</TotalTime>
  <ScaleCrop>false</ScaleCrop>
  <LinksUpToDate>false</LinksUpToDate>
  <CharactersWithSpaces>2209</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2019-03-16T06:42:00Z</dcterms:created>
  <dc:creator>雯 张</dc:creator>
  <cp:lastModifiedBy>张律师 13710328260</cp:lastModifiedBy>
  <dcterms:modified xsi:type="dcterms:W3CDTF">2019-04-10T11:40:01Z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